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黑体"/>
          <w:color w:val="000000" w:themeColor="text1"/>
          <w:sz w:val="44"/>
          <w:szCs w:val="44"/>
        </w:rPr>
      </w:pPr>
      <w:bookmarkStart w:id="0" w:name="_GoBack"/>
      <w:bookmarkEnd w:id="0"/>
    </w:p>
    <w:p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color w:val="000000" w:themeColor="text1"/>
          <w:sz w:val="44"/>
          <w:szCs w:val="44"/>
        </w:rPr>
        <w:t>《区人民政府</w:t>
      </w:r>
      <w:r>
        <w:rPr>
          <w:rFonts w:hint="eastAsia" w:ascii="黑体" w:hAnsi="黑体" w:eastAsia="黑体" w:cs="黑体"/>
          <w:sz w:val="44"/>
          <w:szCs w:val="44"/>
        </w:rPr>
        <w:t>关于做好省、市两级下放</w:t>
      </w:r>
    </w:p>
    <w:p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经济社会管理权限承接落实工作</w:t>
      </w:r>
    </w:p>
    <w:p>
      <w:pPr>
        <w:jc w:val="center"/>
        <w:rPr>
          <w:rFonts w:ascii="黑体" w:hAnsi="黑体" w:eastAsia="黑体" w:cs="黑体"/>
          <w:color w:val="000000" w:themeColor="text1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的通知</w:t>
      </w:r>
      <w:r>
        <w:rPr>
          <w:rFonts w:hint="eastAsia" w:ascii="黑体" w:hAnsi="黑体" w:eastAsia="黑体" w:cs="黑体"/>
          <w:color w:val="000000" w:themeColor="text1"/>
          <w:sz w:val="44"/>
          <w:szCs w:val="44"/>
        </w:rPr>
        <w:t>》的政策解读</w:t>
      </w:r>
    </w:p>
    <w:p>
      <w:pPr>
        <w:rPr>
          <w:rFonts w:ascii="黑体" w:hAnsi="黑体" w:eastAsia="黑体" w:cs="黑体"/>
          <w:color w:val="000000" w:themeColor="text1"/>
          <w:sz w:val="44"/>
          <w:szCs w:val="44"/>
        </w:rPr>
      </w:pPr>
    </w:p>
    <w:p>
      <w:pPr>
        <w:spacing w:line="560" w:lineRule="exact"/>
        <w:ind w:firstLine="640" w:firstLineChars="200"/>
        <w:rPr>
          <w:rFonts w:ascii="仿宋" w:hAnsi="仿宋" w:eastAsia="仿宋" w:cs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为加快推进县域经济高质量发展，进一步做好省、市下放经济社会管理权限的承接落实工作，结合实际，新洲区拟定了《区人民政府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</w:rPr>
        <w:t>关于做好省、市两级下放经济社会管理权限承接落实工作的通知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》。现解读如下：</w:t>
      </w: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ascii="黑体" w:hAnsi="黑体" w:eastAsia="黑体" w:cs="黑体"/>
          <w:color w:val="000000" w:themeColor="text1"/>
          <w:sz w:val="32"/>
          <w:szCs w:val="32"/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</w:rPr>
        <w:t>文件起草背景和依据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2022年2月，省人民政府印发《关于向79个县（市、区）下放经济社会管理权限的决定》（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</w:rPr>
        <w:t>鄂政发〔2022〕4号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），向79个县（市、区）下放省、市两级126项经济社会管理权限，进一步扩大经济社会发展自主权。</w:t>
      </w:r>
      <w:r>
        <w:rPr>
          <w:rFonts w:hint="eastAsia" w:ascii="仿宋" w:hAnsi="仿宋" w:eastAsia="仿宋" w:cs="仿宋"/>
          <w:sz w:val="32"/>
          <w:szCs w:val="32"/>
        </w:rPr>
        <w:t>其中：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（一）下放省直管市权限11项。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（二）下放区级权限115项，其中：行政许可72项、行政确认13项、行政处罚4项、行政检查1项、行政裁决2项、其他行政权力18项、公共服务5项。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color w:val="000000" w:themeColor="text1"/>
          <w:sz w:val="32"/>
          <w:szCs w:val="32"/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</w:rPr>
        <w:t>二、主要内容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（一）按照部门职责分工，11家区直部门承接下放的115项经济社会管理权限。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1.区行政审批局58项：行政许可58项。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2.区发改局1项：行政确认1项。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3.区自然资源和规划局2项：行政许可1项，公共服务1项。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4.区住建局1项：其他行政权力1项。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5.区交通运输局24项：行政许可6项、行政确认11项、其他行政权力7项。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6.区水务和湖泊局10项：行政确认1项、行政裁决2项、其他行政权力6项、公共服务1项。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7.区商务局8项：行政许可1项、行政处罚3项、行政检查1项、其他行政权力1项、公共服务2项。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8.区文旅局1项：其他行政权力1项。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9.区退役军人事务局1项：行政处罚1项。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10.区市场监管局2项：行政许可1项、公共服务1项。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11.区公安分局7项：行政许可5项、其他行政权力2项。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（二）为进一步做好承接落实工作，明确了涉及单位职责分工。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区直部门作为承接权限的主体，要在省、市有关部门的指导下，进一步制定相关承接方案和实施细则，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进一步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</w:rPr>
        <w:t>细化监管措施，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进一步</w:t>
      </w:r>
      <w:r>
        <w:rPr>
          <w:rFonts w:ascii="仿宋" w:hAnsi="仿宋" w:eastAsia="仿宋" w:cs="仿宋"/>
          <w:sz w:val="32"/>
          <w:szCs w:val="32"/>
        </w:rPr>
        <w:t>加强行政审批和监管执法的联动，</w:t>
      </w:r>
      <w:r>
        <w:rPr>
          <w:rFonts w:hint="eastAsia" w:ascii="仿宋" w:hAnsi="仿宋" w:eastAsia="仿宋" w:cs="仿宋"/>
          <w:sz w:val="32"/>
          <w:szCs w:val="32"/>
        </w:rPr>
        <w:t>确保承接工作到位。区财政局要按照事权与财权统一原则，加强预算编制、资金拨付等基础保障。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color w:val="000000" w:themeColor="text1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</w:rPr>
        <w:t>区委编办、区发改局、区司法局、区行政审批局等部门要积极发挥统筹协调作用，指导、督促承接部门做好承接工作，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适时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</w:rPr>
        <w:t>组织开展承接下放权限运行效果的综合评估。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区直部门在贯彻执行过程中遇到需要研究的重大问题，应及时报区人民政府研究。</w:t>
      </w:r>
    </w:p>
    <w:p>
      <w:pPr>
        <w:spacing w:line="560" w:lineRule="exact"/>
        <w:rPr>
          <w:rFonts w:ascii="黑体" w:hAnsi="黑体" w:eastAsia="黑体" w:cs="黑体"/>
          <w:color w:val="000000" w:themeColor="text1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5D6C5CD"/>
    <w:multiLevelType w:val="singleLevel"/>
    <w:tmpl w:val="35D6C5C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FmYzMzYWY0OWZmZmY0ZjVkZWUxYTQzMzFhYzFiZWUifQ=="/>
  </w:docVars>
  <w:rsids>
    <w:rsidRoot w:val="4F146810"/>
    <w:rsid w:val="009D64D5"/>
    <w:rsid w:val="00C7042F"/>
    <w:rsid w:val="00DA32FD"/>
    <w:rsid w:val="00EF66A6"/>
    <w:rsid w:val="497F6B47"/>
    <w:rsid w:val="4F146810"/>
    <w:rsid w:val="6BED1FA3"/>
    <w:rsid w:val="73FC2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891</Words>
  <Characters>928</Characters>
  <Lines>6</Lines>
  <Paragraphs>1</Paragraphs>
  <TotalTime>12</TotalTime>
  <ScaleCrop>false</ScaleCrop>
  <LinksUpToDate>false</LinksUpToDate>
  <CharactersWithSpaces>928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2022-08-30T08:57:00Z</dcterms:created>
  <dc:creator>小徐</dc:creator>
  <cp:lastModifiedBy>愚人有乐高峻</cp:lastModifiedBy>
  <cp:lastPrinted>2022-08-30T09:08:00Z</cp:lastPrinted>
  <dcterms:modified xsi:type="dcterms:W3CDTF">2022-09-09T02:25:41Z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3BDDE2B2BD7C40B58A6EA12F4B31A277</vt:lpwstr>
  </property>
</Properties>
</file>